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巩义市人民法院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网上立案可容缺的材料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一、买卖合同纠纷案件可容缺的材料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1.合同履行情况的证据：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（1）交、收货凭证；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（2）货款收支凭证；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（3）拖欠货款的证据；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（4）收货方提出质量异议的信函、检验报告、客户投诉、退货和索偿的证据；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（5）约定向第三人履行或者由第三人履行的，提交第三人关于合同履行情况的证明以及相应凭证。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二、金融借款合同纠纷案件可容缺的材料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1.借款合同关系以及从属的担保合同关系的证据：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（1）借款合同、协议中与确定管辖无关的内容;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（2）抵押合同、抵押物权属证明、抵押登记情况的证据;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（3）保证合同或者保函;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（4）质押合同、质押动产或者质押权利凭证交付的证据、出质登记的证据。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2.合同履行情况的证据：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（1）发放借款的证据;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（2）还本付息的证据。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三、加工承揽合同纠纷案件可容缺的材料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1.加工承揽合同、协议中与确定管辖无关的内容。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2.合同履行情况的证据：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如：定作物完成的数量、质量和支付价款等证据。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四、股权转让合同纠纷案件可容缺的材料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1.股权转让合同关系的证据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（1）股权转让合同、协议中与确定管辖无关的内容;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（2）股东同意转让股权(出资)的证据。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2.合同履行情况的证据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（1）出让或者接受股权(出资)的证据;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（2）出资证明、股东名册;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（3）公司管理权转移的证据;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（4）资产评估报告、验资报告。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五、合伙纠纷可容缺的材料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1.合伙人出资形式、出资数额的证据;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2.退伙协议以及退伙清算的证据;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3.会计账册以及合伙财产状况的证据;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六、房屋买卖合同纠纷案件可容缺的材料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1.合同履行情况的证据：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（1）交付房屋和支付购房款的证据;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（2）房屋产权证书、土地使用权证书;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（3）办理过户手续或者未能过户的原因、理由的证据;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（4）出卖共有房屋的：其他共有人同意出卖和放弃优先购买权的证据;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（5）出卖出租房屋的：提前通知承租人和承租人放弃优先购买权的证据;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（6）房屋的占有、使用情况的证据。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七、房屋租赁合同纠纷案件可容缺的材料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1.合同履行情况的证据：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（1）出租人不按合同约定交付房屋、要求承租人提前退房的证据;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（2）承租人不按合同约定接受房屋或者拒交迟交租金、私自拆改房屋、擅自转租转借房屋、改变房屋用途、利用房屋进行非法活动的证据;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（3）出租房屋毁损或者倒塌而出租人拒绝修缮的证据。2.其他证明案件事实且与确定管辖无关的证据。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八、不动产权属纠纷案件可容缺的材料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1.不动产产权证以及通过继承、赠与、买卖、抵押、典当取得不动产产权的证据;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2.不动产使用情况的证据;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3.改建、扩建、新建或者增添附属物的：报建、审批、施工的证据;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九、商品房预售合同纠纷案件可容缺的材料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1.商品房预售合同关系的部分证据：商品房预售项目的土地使用权证、建设工程规划许可证、商品房预售许可证。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2.合同履行情况的证据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（1）支付购房款数额、时间、方式或者未足额支付、拖欠购房款的证据;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（2）交付房屋和办理房屋产权证、土地使用权证或者未能交付房屋和办理房屋产权证、土地使用权证的原因、理由的证据;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（3）商品房的质量、面积情况或者提出异议的证据。3.其他证明案件事实且与确定管辖无关的证据。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十、房屋拆迁安置补偿合同纠纷案件可容缺的材料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1.房屋拆迁许可证、建设工程规划许可证、房屋拆迁公告等证据;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2.委托拆迁的：委托拆迁合同、协议;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3.被拆迁建筑物的面积、结构、附属物等证据;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4.被拆迁人家庭人员户籍材料;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5.被拆迁人已经回迁的：回迁房屋状况的证据;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6.支付或者领取临时安置补助费和其他有关费用的证据;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7.强制拆迁的：实行强制拆迁的原因、理由、实施情况的证据;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十一、合作建房合同纠纷案件可容缺的材料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1.合作建房合同、协议中与确定管辖无关的内容。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2.合同履行情况的证据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（1）土地使用权证书、建设工程许可证、建筑施工许可证、土地使用权转让合同以及报建、审批材料;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（2）实际出资数额、方式、时间的证据;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（3）建筑工程承包合同、施工材料、竣工验收证明等房屋建设情况的证据;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（4）建房资金使用情况的证据;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（5）房屋已经预售或者已经建成出售的：收回资金数额、利润分配或者亏损分担的证据。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十二、土地使用权转让合同纠纷案件可容缺的材料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1.土地使用权有偿转让合同、协议中与确定管辖无关的内容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2.合同履行情况的证据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spacing w:val="2"/>
          <w:sz w:val="32"/>
          <w:szCs w:val="32"/>
        </w:rPr>
        <w:t>支付土地使用权转让金或</w:t>
      </w:r>
      <w:r>
        <w:rPr>
          <w:rFonts w:hint="eastAsia" w:ascii="仿宋_GB2312" w:eastAsia="仿宋_GB2312"/>
          <w:sz w:val="32"/>
          <w:szCs w:val="32"/>
        </w:rPr>
        <w:t>者未足额支付、拖欠土地使用权转让金的证据;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（2）交付转让土地的证据;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（3）土地开发、利用、建设情况的证据。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十三、建筑装修工程承包合同纠纷案件可容缺的材料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1.建筑装修工程承包合同、协议中与确定管辖无关的内容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2.合同履行情况的证据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（1）工程竣工验收、交付使用或者未竣工、施工进展情况的证据;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（2）支付工程款或者未足额支付、拖欠工程款的证据;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（3）工程质量情况或者提出异议的证据;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（4）工程结算的证据。3.其他证明案件事实且与确定管辖无关的证据。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十四、婚姻纠纷案件可容缺的材料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1.婚姻关系破裂的证据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（1）涉及家庭暴力的：报警处警材料、法医鉴定，证人证言;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（2）涉及吸毒、赌博行为的：居委会、村委会或者公安机关出具的证明;处罚决定或者相应法律文书(受到行政处罚、刑事追究的);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（3）涉及重婚或者与他(她)人同居的：结婚证、子女出生证、居住证明、有关照片或者居委会、村委会、公安机关出具的证明;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（4）曾经有过纠纷并作了处理或者进行过离婚诉讼的：法院的判决书、调解书、裁定书，或者街道调解委员会以及有关单位出具的证明。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2.子女情况的证据：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（1）婚生子女、继子女、养子女的证明;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（2）涉及10周岁以上未成年子女的：子女本人愿随父或随母生活的证据。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3.婚姻关系存续期间共同财产的证据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（1）房产：房产证(不动产产权证)或者购房合同、发票以及出资证明;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（2）银行存款：银行账号;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（3）股票：股东代码、资金账号;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（4）车辆：行驶证、车牌号;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（5）股权：公司工商登记、出资情况的证据;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（6）经济收入证明;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（7）证明存在债权债务的相关证据;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（8）若因婚后继承、受赠所得财产，证明其来源的证据;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（9）财产有约定的：书证。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十五、继承纠纷案件可容缺的材料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1.法定继承的证据：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（1）被继承人死亡证明书;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（2）被继承人婚姻、生育和抚养子女状况的证据;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（3）被继承人的养子女：收养关系证明书;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（4）继承人以外、依靠被继承人抚养的缺乏劳动能力又没有生活来源的人，或者继承人以外、对被继承人抚养较多的人：居委会、村委会或者被继承人单位出具的证明。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2.遗嘱继承的证据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（1）被继承人死亡证明书;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（2）公证遗嘱：公证书;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（3）代书遗嘱：代书遗嘱书;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（4）自书遗嘱：自书遗嘱书;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（5）口头遗嘱：两个以上无利害关系的在场见证人证言;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（6）以录音形式立遗嘱：录音、两个以上无利害关系的在场见证人证言。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3.被继承人财产的证据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（1）房产：房产证或者购房合同、发票以及出资证明;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（2）银行存款：银行账号;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（3）股票：股东代码、资金账号;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（4）车辆：行驶证、车牌号;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（5）股权：公司工商登记、出资情况的证明;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（6）债权债务：借据或相关的证据。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十六、道路交通事故损害赔偿纠纷案件可容缺的材料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1.受害人伤残法医鉴定书以及残疾等级评定证明;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2.受害人经济收入、家庭成员状况的证明;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3.医院诊断情况的证据和医药费、残疾用具费(以国产用具为准)、交通费、住宿费等单据;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4.其他证明案件事实且与确定管辖无关的证据。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十七、损害赔偿纠纷案件可容缺的材料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1.损害的时间、地点、方式的证据;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2.当事人承认或者双方达成损害赔偿的证据;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3.人身损害的证据：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（1）医疗单位诊断证明;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（2）法医鉴定书以及伤残等级评定书;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（3）医药费、住院费、交通费、误工费、护理费等证据。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4.财物损害的证据：财物受损情况、受损程度评定、受损财物原价值、修理费用等证据。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5.其他证明案件事实且与确定管辖无关的证据。</w:t>
      </w:r>
    </w:p>
    <w:p>
      <w:pPr>
        <w:tabs>
          <w:tab w:val="left" w:pos="2655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ind w:right="-483" w:rightChars="-230"/>
      </w:pPr>
    </w:p>
    <w:p/>
    <w:sectPr>
      <w:footerReference r:id="rId3" w:type="default"/>
      <w:footerReference r:id="rId4" w:type="even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24078287"/>
        <w:docPartObj>
          <w:docPartGallery w:val="autotext"/>
        </w:docPartObj>
      </w:sdtPr>
      <w:sdtEndPr>
        <w:rPr>
          <w:rFonts w:asciiTheme="minorHAnsi" w:hAnsiTheme="minorHAnsi" w:eastAsiaTheme="minorEastAsia"/>
          <w:sz w:val="18"/>
          <w:szCs w:val="24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24078298"/>
        <w:docPartObj>
          <w:docPartGallery w:val="autotext"/>
        </w:docPartObj>
      </w:sdtPr>
      <w:sdtEndPr>
        <w:rPr>
          <w:rFonts w:asciiTheme="minorHAnsi" w:hAnsiTheme="minorHAnsi" w:eastAsiaTheme="minorEastAsia"/>
          <w:sz w:val="18"/>
          <w:szCs w:val="24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GQzNmMxZGZjYTg0NGNhOGZjN2NhYzBjNzZjYzkifQ=="/>
  </w:docVars>
  <w:rsids>
    <w:rsidRoot w:val="00000000"/>
    <w:rsid w:val="3D8D5DA2"/>
    <w:rsid w:val="69C67F6C"/>
    <w:rsid w:val="7AE3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3333</Words>
  <Characters>3395</Characters>
  <Lines>0</Lines>
  <Paragraphs>0</Paragraphs>
  <TotalTime>0</TotalTime>
  <ScaleCrop>false</ScaleCrop>
  <LinksUpToDate>false</LinksUpToDate>
  <CharactersWithSpaces>3396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2023-07-25T06:34:00Z</dcterms:created>
  <dc:creator>86184</dc:creator>
  <cp:lastModifiedBy>86184</cp:lastModifiedBy>
  <dcterms:modified xsi:type="dcterms:W3CDTF">2023-07-25T06:34:33Z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4145B94FB1BF497FB76E8A31AEAA338A_12</vt:lpwstr>
  </property>
</Properties>
</file>